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Fähig, am Verfahren beteiligt zu sein, sind</w:t>
      </w:r>
    </w:p>
    <w:p>
      <w:pPr>
        <w:ind w:left="420"/>
      </w:pPr>
      <w:r>
        <w:t xml:space="preserve">1. natürliche und juristische Personen,</w:t>
      </w:r>
    </w:p>
    <w:p>
      <w:pPr>
        <w:ind w:left="420"/>
      </w:pPr>
      <w:r>
        <w:t xml:space="preserve">2. nichtrechtsfähige Personenvereinigungen,</w:t>
      </w:r>
    </w:p>
    <w:p>
      <w:pPr>
        <w:ind w:left="420"/>
      </w:pPr>
      <w:r>
        <w:t xml:space="preserve">3. Behörden, sofern das Landesrecht dies bestimmt,</w:t>
      </w:r>
    </w:p>
    <w:p>
      <w:pPr>
        <w:ind w:left="420"/>
      </w:pPr>
      <w:r>
        <w:t xml:space="preserve">4. gemeinsame Entscheidungsgremien von Leistungserbringern und Krankenkassen oder Pflegekassen.</w:t>
      </w:r>
    </w:p>
    <w:p>
      <w:r>
        <w:rPr>
          <w:color w:val="555555"/>
          <w:sz w:val="17"/>
        </w:rPr>
        <w:t xml:space="preserve">Zitiervorschlag: § 70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