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Sozialgerichte werden als Landesgerichte errichtet. Die Errichtung und Aufhebung eines Gerichts und die Verlegung eines Gerichtssitzes werden durch Gesetz angeordnet. Änderungen in der Abgrenzung der Gerichtsbezirke können auch durch Rechtsverordnung bestimmt werden. Die Landesregierung oder die von ihr beauftragte Stelle kann anordnen, daß außerhalb des Sitzes eines Sozialgerichts Zweigstellen errichtet werden.</w:t>
      </w:r>
    </w:p>
    <w:p>
      <w:r>
        <w:t xml:space="preserve">(2) Mehrere Länder können gemeinsame Sozialgerichte errichten oder die Ausdehnung von Gerichtsbezirken über die Landesgrenzen hinaus vereinbaren.</w:t>
      </w:r>
    </w:p>
    <w:p>
      <w:r>
        <w:t xml:space="preserve">(3) Wird ein Sozialgericht aufgehoben oder wird die Abgrenzung der Gerichtsbezirke geändert, so kann durch Landesgesetz bestimmt werden, daß die bei dem aufgehobenen Gericht oder bei dem von der Änderung in der Abgrenzung der Gerichtsbezirke betroffenen Gericht rechtshängigen Streitsachen auf ein anderes Sozialgericht übergehen.</w:t>
      </w:r>
    </w:p>
    <w:p>
      <w:r>
        <w:rPr>
          <w:color w:val="555555"/>
          <w:sz w:val="17"/>
        </w:rPr>
        <w:t xml:space="preserve">Zitiervorschlag: § 7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