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65d SGG — Nutzungspflicht für Rechtsanwälte, Behörden und vertretungsberechtigte Bevollmächtigte</w:t>
      </w:r>
    </w:p>
    <w:p>
      <w:r>
        <w:rPr>
          <w:color w:val="555555"/>
          <w:sz w:val="18"/>
        </w:rPr>
        <w:t xml:space="preserve">Sozialgerichtsgesetz</w:t>
      </w:r>
    </w:p>
    <w:p>
      <w:r>
        <w:rPr>
          <w:color w:val="555555"/>
          <w:sz w:val="18"/>
        </w:rPr>
        <w:t xml:space="preserve">Stand: 13.01.2026 (konsolidierte Textfassung, kein amtliches Inkrafttretensdatum)</w:t>
      </w:r>
    </w:p>
    <w:p>
      <w:r>
        <w:t xml:space="preserve">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sind als elektronisches Dokument zu übermitteln. Gleiches gilt für die nach diesem Gesetz vertretungsberechtigten Personen und Bevollmächtigten, für die ein sicherer Übermittlungsweg nach § 65a Absatz 4 Satz 1 Nummer 1 oder 3 zur Verfügung steht; ausgenommen sind nach § 73 Absatz 2 Satz 2 Nummer 1 Halbsatz 1 oder Nummer 2 vertretungsbefugte Personen. Ist eine Übermittlung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65d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https://recht.nulegal.eu/gesetze/SGG/65d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