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65b SGG</w:t>
      </w:r>
    </w:p>
    <w:p>
      <w:r>
        <w:rPr>
          <w:color w:val="555555"/>
          <w:sz w:val="18"/>
        </w:rPr>
        <w:t xml:space="preserve">Sozialgerichtsgesetz</w:t>
      </w:r>
    </w:p>
    <w:p>
      <w:r>
        <w:rPr>
          <w:color w:val="555555"/>
          <w:sz w:val="18"/>
        </w:rPr>
        <w:t xml:space="preserve">Stand: 01.01.2026 (konsolidierte Textfassung, kein amtliches Inkrafttretensdatum)</w:t>
      </w:r>
    </w:p>
    <w:p>
      <w:r>
        <w:t xml:space="preserve">(1) Die Prozessakten werden elektronisch geführt.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Ermächtigung nach Satz 2 auf die für die Sozialgerichtsbarkeit zuständigen obersten Landesbehörden übertragen. Die Rechtsverordnung der Bundesregierung bedarf nicht der Zustimmung des Bundesrates.</w:t>
      </w:r>
    </w:p>
    <w:p>
      <w:r>
        <w:t xml:space="preserve">(2) Akten, die in Papierform angelegt wurden, können in Papierform weitergeführt werden. Sie können ab einem bestimmten Stichtag oder Ereignis in elektronischer Form weitergeführt werden. Der Beginn der Weiterführung der Akten in elektronischer Form ist aktenkundig zu machen. Werden die Akten in Papierform geführt, ist von einem elektronischen Dokument ein Ausdruck für die Akten zu fertigen. Kann dies bei Anlagen zu vorbereitenden Schriftsätzen nicht oder nur mit unverhältnismäßigem Aufwand erfolgen, so kann ein Ausdruck unterbleiben. Die Daten sind in diesem Fall dauerhaft zu speichern; der Speicherort ist aktenkundig zu machen.</w:t>
      </w:r>
    </w:p>
    <w:p>
      <w:r>
        <w:t xml:space="preserve">(3) Wird das elektronische Dokument auf einem sicheren Übermittlungsweg eingereicht, so ist dies aktenkundig zu machen.</w:t>
      </w:r>
    </w:p>
    <w:p>
      <w:r>
        <w:t xml:space="preserve">(4) Ist das elektronische Dokument mit einer qualifizierten elektronischen Signatur versehen und nicht auf einem sicheren Übermittlungsweg eingereicht, muss der Ausdruck einen Vermerk darüber enthalten,</w:t>
      </w:r>
    </w:p>
    <w:p>
      <w:pPr>
        <w:ind w:left="420"/>
      </w:pPr>
      <w:r>
        <w:t xml:space="preserve">1. welches Ergebnis die Integritätsprüfung des Dokumentes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r>
        <w:t xml:space="preserve">(5) Ein eingereichtes elektronisches Dokument kann im Falle von Absatz 2 nach Ablauf von sechs Monaten gelöscht werden.</w:t>
      </w:r>
    </w:p>
    <w:p>
      <w:r>
        <w:t xml:space="preserve">(6) Werden die Prozessakten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t xml:space="preserve">(7)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65b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