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63 SGG</w:t>
      </w:r>
    </w:p>
    <w:p>
      <w:r>
        <w:rPr>
          <w:color w:val="555555"/>
          <w:sz w:val="18"/>
        </w:rPr>
        <w:t xml:space="preserve">Sozialgerichtsgesetz</w:t>
      </w:r>
    </w:p>
    <w:p>
      <w:r>
        <w:rPr>
          <w:color w:val="555555"/>
          <w:sz w:val="18"/>
        </w:rPr>
        <w:t xml:space="preserve">Stand: 01.01.2022 (konsolidierte Textfassung, kein amtliches Inkrafttretensdatum)</w:t>
      </w:r>
    </w:p>
    <w:p>
      <w:r>
        <w:t xml:space="preserve">(1) Anordnungen und Entscheidungen, durch die eine Frist in Lauf gesetzt wird, sind den Beteiligten zuzustellen, bei Verkündung jedoch nur, wenn es ausdrücklich vorgeschrieben ist. Terminbestimmungen und Ladungen sind bekannt zu geben.</w:t>
      </w:r>
    </w:p>
    <w:p>
      <w:r>
        <w:t xml:space="preserve">(2) Zugestellt wird von Amts wegen nach den Vorschriften der Zivilprozessordnung. §§ 173, 175 und 178 Abs. 1 Nr. 2 der Zivilprozessordnung sind entsprechend anzuwenden auf die nach § 73 Abs. 2 Satz 2 Nr. 3 bis 9 zur Prozessvertretung zugelassenen Personen.</w:t>
      </w:r>
    </w:p>
    <w:p>
      <w:r>
        <w:t xml:space="preserve">(3) Wer nicht im Inland wohnt, hat auf Verlangen einen Zustellungsbevollmächtigten zu bestellen.</w:t>
      </w:r>
    </w:p>
    <w:p>
      <w:r>
        <w:rPr>
          <w:color w:val="555555"/>
          <w:sz w:val="17"/>
        </w:rPr>
        <w:t xml:space="preserve">Zitiervorschlag: § 63 SGG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https://recht.nulegal.eu/gesetze/SGG/63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