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Für die Öffentlichkeit, Sitzungspolizei und Gerichtssprache gelten die §§ 169, 171b bis 191a des Gerichtsverfassungsgesetzes entsprechend. Abweichend von Satz 1 ist § 185 Absatz 1a des Gerichtsverfassungsgesetzes mit der Maßgabe anzuwenden, dass das Gericht dem Dolmetscher die Teilnahme an der Verhandlung, Anhörung oder Vernehmung per Bild- und Tonübertragung gestatten kann.</w:t>
      </w:r>
    </w:p>
    <w:p>
      <w:r>
        <w:t xml:space="preserve">(2) Für die Beratung und Abstimmung gelten die §§ 192 bis 197 des Gerichtsverfassungsgesetzes entsprechend. Abweichend von Satz 1 findet § 193 Absatz 1 des Gerichtsverfassungsgesetzes keine Anwendung für die erstmalige gemeinsame Beratung und Abstimmung mit den ehrenamtlichen Richterinnen und Richtern bei einer Entscheidung aufgrund mündlicher Verhandlung.</w:t>
      </w:r>
    </w:p>
    <w:p>
      <w:r>
        <w:rPr>
          <w:color w:val="555555"/>
          <w:sz w:val="17"/>
        </w:rPr>
        <w:t xml:space="preserve">Zitiervorschlag: § 61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