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57b SGG</w:t>
      </w:r>
    </w:p>
    <w:p>
      <w:r>
        <w:rPr>
          <w:color w:val="555555"/>
          <w:sz w:val="18"/>
        </w:rPr>
        <w:t xml:space="preserve">Sozialgerichtsgesetz</w:t>
      </w:r>
    </w:p>
    <w:p>
      <w:r>
        <w:rPr>
          <w:color w:val="555555"/>
          <w:sz w:val="18"/>
        </w:rPr>
        <w:t xml:space="preserve">Stand: 10.06.2019 (konsolidierte Textfassung, kein amtliches Inkrafttretensdatum)</w:t>
      </w:r>
    </w:p>
    <w:p>
      <w:r>
        <w:t xml:space="preserve">In Angelegenheiten, die die Wahlen zu den Selbstverwaltungsorganen der Sozialversicherungsträger und ihrer Verbände oder die Ergänzung der Selbstverwaltungsorgane betreffen, ist das Sozialgericht zuständig, in dessen Bezirk der Versicherungsträger oder der Verband den Sitz hat.</w:t>
      </w:r>
    </w:p>
    <w:p>
      <w:r>
        <w:rPr>
          <w:color w:val="555555"/>
          <w:sz w:val="17"/>
        </w:rPr>
        <w:t xml:space="preserve">Zitiervorschlag: § 57b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https://recht.nulegal.eu/gesetze/SGG/57b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