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Mit der Klage kann begehrt werden</w:t>
      </w:r>
    </w:p>
    <w:p>
      <w:pPr>
        <w:ind w:left="420"/>
      </w:pPr>
      <w:r>
        <w:t xml:space="preserve">1. die Feststellung des Bestehens oder Nichtbestehens eines Rechtsverhältnisses,</w:t>
      </w:r>
    </w:p>
    <w:p>
      <w:pPr>
        <w:ind w:left="420"/>
      </w:pPr>
      <w:r>
        <w:t xml:space="preserve">2. die Feststellung, welcher Versicherungsträger der Sozialversicherung zuständig ist,</w:t>
      </w:r>
    </w:p>
    <w:p>
      <w:pPr>
        <w:ind w:left="420"/>
      </w:pPr>
      <w:r>
        <w:t xml:space="preserve">3. die Feststellung, ob eine Gesundheitsstörung oder der Tod die Folge eines Arbeitsunfalls, einer Berufskrankheit oder einer Schädigung im Sinne des Vierzehnten Buches Sozialgesetzbuch oder des Soldatenentschädigungsgesetzes ist,</w:t>
      </w:r>
    </w:p>
    <w:p>
      <w:pPr>
        <w:ind w:left="420"/>
      </w:pPr>
      <w:r>
        <w:t xml:space="preserve">4. die Feststellung der Nichtigkeit eines Verwaltungsakts,</w:t>
      </w:r>
    </w:p>
    <w:p>
      <w:r>
        <w:t xml:space="preserve">wenn der Kläger ein berechtigtes Interesse an der baldigen Feststellung hat.</w:t>
      </w:r>
    </w:p>
    <w:p>
      <w:r>
        <w:t xml:space="preserve">(2) Unter Absatz 1 Nr. 1 fällt auch die Feststellung, in welchem Umfang Beiträge zu berechnen oder anzurechnen sind.</w:t>
      </w:r>
    </w:p>
    <w:p>
      <w:r>
        <w:t xml:space="preserve">(3) Mit Klagen, die sich gegen Verwaltungsakte der Deutschen Rentenversicherung Bund nach § 7a des Vierten Buches Sozialgesetzbuch richten, kann die Feststellung begehrt werden, ob eine Erwerbstätigkeit als Beschäftigung oder selbständige Tätigkeit ausgeübt wird.</w:t>
      </w:r>
    </w:p>
    <w:p>
      <w:r>
        <w:rPr>
          <w:color w:val="555555"/>
          <w:sz w:val="17"/>
        </w:rPr>
        <w:t xml:space="preserve">Zitiervorschlag: § 55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