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Durch Klage kann die Aufhebung eines Verwaltungsakts oder seine Abänderung sowie die Verurteilung zum Erlaß eines abgelehnten oder unterlassenen Verwaltungsakts begehrt werden. Soweit gesetzlich nichts anderes bestimmt ist, ist die Klage zulässig, wenn der Kläger behauptet, durch den Verwaltungsakt oder durch die Ablehnung oder Unterlassung eines Verwaltungsakts beschwert zu sein.</w:t>
      </w:r>
    </w:p>
    <w:p>
      <w:r>
        <w:t xml:space="preserve">(2) Der Kläger ist beschwert, wenn der Verwaltungsakt oder die Ablehnung oder Unterlassung eines Verwaltungsakts rechtswidrig ist. Soweit die Behörde, Körperschaft oder Anstalt des öffentlichen Rechts ermächtigt ist, nach ihrem Ermessen zu handeln, ist Rechtswidrigkeit auch gegeben, wenn die gesetzlichen Grenzen dieses Ermessens überschritten sind oder von dem Ermessen in einer dem Zweck der Ermächtigung nicht entsprechenden Weise Gebrauch gemacht ist.</w:t>
      </w:r>
    </w:p>
    <w:p>
      <w:r>
        <w:t xml:space="preserve">(3) Eine Körperschaft oder eine Anstalt des öffentlichen Rechts kann mit der Klage die Aufhebung einer Anordnung der Aufsichtsbehörde begehren, wenn sie behauptet, daß die Anordnung das Aufsichtsrecht überschreite.</w:t>
      </w:r>
    </w:p>
    <w:p>
      <w:r>
        <w:t xml:space="preserve">(4) Betrifft der angefochtene Verwaltungsakt eine Leistung, auf die ein Rechtsanspruch besteht, so kann mit der Klage neben der Aufhebung des Verwaltungsakts gleichzeitig die Leistung verlangt werden.</w:t>
      </w:r>
    </w:p>
    <w:p>
      <w:r>
        <w:t xml:space="preserve">(5) Mit der Klage kann die Verurteilung zu einer Leistung, auf die ein Rechtsanspruch besteht, auch dann begehrt werden, wenn ein Verwaltungsakt nicht zu ergehen hatte.</w:t>
      </w:r>
    </w:p>
    <w:p>
      <w:r>
        <w:rPr>
          <w:color w:val="555555"/>
          <w:sz w:val="17"/>
        </w:rPr>
        <w:t xml:space="preserve">Zitiervorschlag: § 54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