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Arbeit und Soziales bestimmt nach Anhörung des Präsidenten des Bundessozialgerichts die Zahl der für die einzelnen Zweige der Sozialgerichtsbarkeit zu berufenden ehrenamtlichen Richter.</w:t>
      </w:r>
    </w:p>
    <w:p>
      <w:r>
        <w:t xml:space="preserve">(2) Die ehrenamtlichen Richter werden vom Bundesministerium für Arbeit und Soziales auf Grund von Vorschlagslisten (§ 46) für die Dauer von fünf Jahren berufen; sie sind in angemessenem Verhältnis unter billiger Berücksichtigung der Minderheiten aus den Vorschlagslisten zu entnehmen. Das Bundesministerium für Arbeit und Soziales kann eine Ergänzung der Vorschlagslisten verlangen. § 13 Abs. 2 gilt entsprechend mit der Maßgabe, dass das Bundesministerium für Arbeit und Soziales durch Rechtsverordnung eine einheitliche Amtsperiode festlegen kann.</w:t>
      </w:r>
    </w:p>
    <w:p>
      <w:r>
        <w:t xml:space="preserve">(3) Die ehrenamtlichen Richter bleiben nach Ablauf ihrer Amtszeit im Amt, bis ihre Nachfolger berufen sind. Erneute Berufung ist zulässig.</w:t>
      </w:r>
    </w:p>
    <w:p>
      <w:r>
        <w:rPr>
          <w:color w:val="555555"/>
          <w:sz w:val="17"/>
        </w:rPr>
        <w:t xml:space="preserve">Zitiervorschlag: § 45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