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Bundessozialgericht entscheidet über das Rechtsmittel der Revision.</w:t>
      </w:r>
    </w:p>
    <w:p>
      <w:r>
        <w:t xml:space="preserve">(2) Das Bundessozialgericht entscheidet im ersten und letzten Rechtszug über Streitigkeiten nicht verfassungsrechtlicher Art zwischen dem Bund und den Ländern sowie zwischen verschiedenen Ländern in Angelegenheiten des § 51. Hält das Bundessozialgericht in diesen Fällen eine Streitigkeit für verfassungsrechtlich, so legt es die Sache dem Bundesverfassungsgericht zur Entscheidung vor. Das Bundesverfassungsgericht entscheidet mit bindender Wirkung.</w:t>
      </w:r>
    </w:p>
    <w:p>
      <w:r>
        <w:rPr>
          <w:color w:val="555555"/>
          <w:sz w:val="17"/>
        </w:rPr>
        <w:t xml:space="preserve">Zitiervorschlag: § 39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