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ehrenamtlichen Richter beim Landessozialgericht müssen das dreißigste Lebensjahr vollendet haben; sie sollen mindestens fünf Jahre ehrenamtliche Richter bei einem Sozialgericht gewesen sein. Im übrigen gelten die §§ 13 bis 23.</w:t>
      </w:r>
    </w:p>
    <w:p>
      <w:r>
        <w:t xml:space="preserve">(2) In den Fällen des § 18 Abs. 4, der §§ 21 und 22 Abs. 2 entscheidet der vom Präsidium für jedes Geschäftsjahr im voraus bestimmte Senat.</w:t>
      </w:r>
    </w:p>
    <w:p>
      <w:r>
        <w:rPr>
          <w:color w:val="555555"/>
          <w:sz w:val="17"/>
        </w:rPr>
        <w:t xml:space="preserve">Zitiervorschlag: § 35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