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Senat wird in der Besetzung mit einem Vorsitzenden, zwei weiteren Berufsrichtern und zwei ehrenamtlichen Richtern tätig. § 12 Abs. 1 Satz 2, Abs. 2 bis 5 gilt entsprechend.</w:t>
      </w:r>
    </w:p>
    <w:p>
      <w:r>
        <w:t xml:space="preserve">(2) In Senaten, die in Verfahren wegen eines überlangen Gerichtsverfahrens (§ 202 Satz 2) entscheiden, wirken die für Angelegenheiten der Sozialversicherung berufenen ehrenamtlichen Richter mit.</w:t>
      </w:r>
    </w:p>
    <w:p>
      <w:r>
        <w:rPr>
          <w:color w:val="555555"/>
          <w:sz w:val="17"/>
        </w:rPr>
        <w:t xml:space="preserve">Zitiervorschlag: § 33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