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(weggefallen)</w:t>
      </w:r>
    </w:p>
    <w:p>
      <w:r>
        <w:t xml:space="preserve">(3) Wenn die Vertretung eines Vorsitzenden nicht durch einen Berufsrichter desselben Gerichts möglich ist, wird sie auf Antrag des Präsidiums durch die Landesregierung oder die von ihr beauftragte Stelle geregelt.</w:t>
      </w:r>
    </w:p>
    <w:p>
      <w:r>
        <w:rPr>
          <w:color w:val="555555"/>
          <w:sz w:val="17"/>
        </w:rPr>
        <w:t xml:space="preserve">Zitiervorschlag: § 27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