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nach Maßgabe des § 13 Abs. 1 des Dritten Überleitungsgesetzes vom 4. Januar 1952 (Bundesgesetzbl. I S. 1) auch im Land Berlin. Rechtsverordnungen, die auf Grund der in diesem Gesetz enthaltenen Ermächtigungen erlassen werden, gelten im Land Berlin nach § 14 des Dritten Überleitungsgesetzes.</w:t>
      </w:r>
    </w:p>
    <w:p>
      <w:r>
        <w:t xml:space="preserve">(2) bis (6) (weggefallen).</w:t>
      </w:r>
    </w:p>
    <w:p>
      <w:r>
        <w:rPr>
          <w:color w:val="555555"/>
          <w:sz w:val="17"/>
        </w:rPr>
        <w:t xml:space="preserve">Zitiervorschlag: § 218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https://recht.nulegal.eu/gesetze/SGG/218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