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206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Auf Verfahren in Angelegenheiten der Sozialhilfe und des Asylbewerberleistungsgesetzes, die nicht auf die Gerichte der Sozialgerichtsbarkeit übergehen, ist § 188 der Verwaltungsgerichtsordnung in der bis zum 31. Dezember 2004 geltenden Fassung anzuwenden.</w:t>
      </w:r>
    </w:p>
    <w:p>
      <w:r>
        <w:t xml:space="preserve">(2) Auf Verfahren, die am 1. Januar 2009 bei den besonderen Spruchkörpern der Gerichte der Verwaltungsgerichtsbarkeit anhängig sind, sind die §§ 1, 50a bis 50 c und 60 in der bis zum 31. Dezember 2008 geltenden Fassung anzuwenden. Für einen Rechtsbehelf gegen Entscheidungen eines besonderen Spruchkörpers des Verwaltungsgerichts, die nach dem 31. Dezember 2008 ergehen, ist das Landessozialgericht zuständig.</w:t>
      </w:r>
    </w:p>
    <w:p>
      <w:r>
        <w:rPr>
          <w:color w:val="555555"/>
          <w:sz w:val="17"/>
        </w:rPr>
        <w:t xml:space="preserve">Zitiervorschlag: § 206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