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Vollstreckung gilt das Achte Buch der Zivilprozeßordnung entsprechend, soweit sich aus diesem Gesetz nichts anderes ergibt.</w:t>
      </w:r>
    </w:p>
    <w:p>
      <w:r>
        <w:t xml:space="preserve">(2) Die Vorschriften über die vorläufige Vollstreckbarkeit sind nicht anzuwenden.</w:t>
      </w:r>
    </w:p>
    <w:p>
      <w:r>
        <w:t xml:space="preserve">(3) An die Stelle der sofortigen Beschwerde tritt die Beschwerde (§§ 172 bis 177).</w:t>
      </w:r>
    </w:p>
    <w:p>
      <w:r>
        <w:rPr>
          <w:color w:val="555555"/>
          <w:sz w:val="17"/>
        </w:rPr>
        <w:t xml:space="preserve">Zitiervorschlag: § 198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