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Gehört in einem Rechtszug weder der Kläger noch der Beklagte zu den in § 183 genannten Personen oder handelt es sich um ein Verfahren wegen eines überlangen Gerichtsverfahrens (§ 202 Satz 2), werden Kosten nach den Vorschriften des Gerichtskostengesetzes erhoben; die §§ 184 bis 195 finden keine Anwendung; die §§ 154 bis 162 der Verwaltungsgerichtsordnung sind entsprechend anzuwenden. Wird die Klage zurückgenommen, findet § 161 Abs. 2 der Verwaltungsgerichtsordnung keine Anwendung. § 163 der Verwaltungsgerichtsordnung ist mit der Maßgabe entsprechend anzuwenden, dass § 138 Satz 2 bis 5 an die Stelle von § 118 Absatz 2 der Verwaltungsgerichtsordnung und § 197 Absatz 2 an die Stelle von § 165 der Verwaltungsgerichtsordnung tritt.</w:t>
      </w:r>
    </w:p>
    <w:p>
      <w:r>
        <w:t xml:space="preserve">(2) Dem Beigeladenen werden die Kosten außer in den Fällen des § 154 Abs. 3 der Verwaltungsgerichtsordnung auch auferlegt, soweit er verurteilt wird (§ 75 Abs. 5). Ist eine der in § 183 genannten Personen beigeladen, können dieser Kosten nur unter den Voraussetzungen von § 192 auferlegt werden. Aufwendungen des Beigeladenen werden unter den Voraussetzungen des § 191 vergütet; sie gehören nicht zu den Gerichtskosten.</w:t>
      </w:r>
    </w:p>
    <w:p>
      <w:r>
        <w:t xml:space="preserve">(3) Die Absätze 1 und 2 gelten auch für Träger der Sozialhilfe einschließlich der Leistungen nach Teil 2 des Neunten Buches Sozialgesetzbuch, soweit sie an Erstattungsstreitigkeiten mit anderen Trägern beteiligt sind.</w:t>
      </w:r>
    </w:p>
    <w:p>
      <w:r>
        <w:rPr>
          <w:color w:val="555555"/>
          <w:sz w:val="17"/>
        </w:rPr>
        <w:t xml:space="preserve">Zitiervorschlag: § 197a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