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ehrenamtliche Richter übt sein Amt mit gleichen Rechten wie der Berufsrichter aus.</w:t>
      </w:r>
    </w:p>
    <w:p>
      <w:r>
        <w:t xml:space="preserve">(2) Die ehrenamtlichen Richter erhalten eine Entschädigung nach dem Justizvergütungs- und -entschädigungsgesetz.</w:t>
      </w:r>
    </w:p>
    <w:p>
      <w:r>
        <w:rPr>
          <w:color w:val="555555"/>
          <w:sz w:val="17"/>
        </w:rPr>
        <w:t xml:space="preserve">Zitiervorschlag: § 19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