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 für die Streitsachen werden in einem Verzeichnis zusammengestellt. Die Mitteilung eines Auszugs aus diesem Verzeichnis an die nach § 184 Abs. 1 Gebührenpflichtigen gilt als Feststellung der Gebührenschuld und als Aufforderung, den Gebührenbetrag binnen eines Monats an die in der Mitteilung angegebene Stelle zu zahlen.</w:t>
      </w:r>
    </w:p>
    <w:p>
      <w:r>
        <w:t xml:space="preserve">(2) Die Feststellung erfolgt durch den Urkundsbeamten der Geschäftsstelle. Gegen diese Feststellung kann binnen eines Monats nach Mitteilung das Gericht angerufen werden, das endgültig entscheidet.</w:t>
      </w:r>
    </w:p>
    <w:p>
      <w:r>
        <w:rPr>
          <w:color w:val="555555"/>
          <w:sz w:val="17"/>
        </w:rPr>
        <w:t xml:space="preserve">Zitiervorschlag: § 189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