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184 SGG</w:t>
      </w:r>
    </w:p>
    <w:p>
      <w:r>
        <w:rPr>
          <w:color w:val="555555"/>
          <w:sz w:val="18"/>
        </w:rPr>
        <w:t xml:space="preserve">Sozialgerichtsgesetz</w:t>
      </w:r>
    </w:p>
    <w:p>
      <w:r>
        <w:rPr>
          <w:color w:val="555555"/>
          <w:sz w:val="18"/>
        </w:rPr>
        <w:t xml:space="preserve">Stand: 10.06.2019 (konsolidierte Textfassung, kein amtliches Inkrafttretensdatum)</w:t>
      </w:r>
    </w:p>
    <w:p>
      <w:r>
        <w:t xml:space="preserve">(1) Kläger und Beklagte, die nicht zu den in § 183 genannten Personen gehören, haben für jede Streitsache eine Gebühr zu entrichten. Die Gebühr entsteht, sobald die Streitsache rechtshängig geworden ist; sie ist für jeden Rechtszug zu zahlen. Soweit wegen derselben Streitsache ein Mahnverfahren (§ 182a) vorausgegangen ist, wird die Gebühr für das Verfahren über den Antrag auf Erlass eines Mahnbescheids nach dem Gerichtskostengesetz angerechnet.</w:t>
      </w:r>
    </w:p>
    <w:p>
      <w:r>
        <w:t xml:space="preserve">(2) Die Höhe der Gebühr wird für das Verfahren</w:t>
      </w:r>
    </w:p>
    <w:p>
      <w:r>
        <w:rPr>
          <w:rFonts w:ascii="Courier New" w:hAnsi="Courier New"/>
          <w:sz w:val="17"/>
        </w:rPr>
        <w:t xml:space="preserve">vor den Sozialgerichten auf    150 Euro,</w:t>
      </w:r>
    </w:p>
    <w:p>
      <w:r>
        <w:rPr>
          <w:rFonts w:ascii="Courier New" w:hAnsi="Courier New"/>
          <w:sz w:val="17"/>
        </w:rPr>
        <w:t xml:space="preserve">vor den Landessozialgerichten auf    225 Euro,</w:t>
      </w:r>
    </w:p>
    <w:p>
      <w:r>
        <w:rPr>
          <w:rFonts w:ascii="Courier New" w:hAnsi="Courier New"/>
          <w:sz w:val="17"/>
        </w:rPr>
        <w:t xml:space="preserve">vor dem Bundessozialgericht auf    300 Euro</w:t>
      </w:r>
    </w:p>
    <w:p>
      <w:r>
        <w:t xml:space="preserve">festgesetzt.</w:t>
      </w:r>
    </w:p>
    <w:p>
      <w:r>
        <w:t xml:space="preserve">(3) § 2 des Gerichtskostengesetzes gilt entsprechend.</w:t>
      </w:r>
    </w:p>
    <w:p>
      <w:r>
        <w:rPr>
          <w:color w:val="555555"/>
          <w:sz w:val="17"/>
        </w:rPr>
        <w:t xml:space="preserve">Zitiervorschlag: § 184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https://recht.nulegal.eu/gesetze/SGG/184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