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SGG</w:t>
      </w:r>
    </w:p>
    <w:p>
      <w:r>
        <w:rPr>
          <w:color w:val="555555"/>
          <w:sz w:val="18"/>
        </w:rPr>
        <w:t xml:space="preserve">Sozialgerichtsgesetz</w:t>
      </w:r>
    </w:p>
    <w:p>
      <w:r>
        <w:rPr>
          <w:color w:val="555555"/>
          <w:sz w:val="18"/>
        </w:rPr>
        <w:t xml:space="preserve">Stand: 01.01.2024 (konsolidierte Textfassung, kein amtliches Inkrafttretensdatum)</w:t>
      </w:r>
    </w:p>
    <w:p>
      <w:r>
        <w:t xml:space="preserve">Das Verfahren vor den Gerichten der Sozialgerichtsbarkeit ist für Versicherte, Leistungsempfänger einschließlich Hinterbliebenenleistungsempfänger, Menschen mit Behinderungen oder deren Sonderrechtsnachfolger nach § 56 des Ersten Buches Sozialgesetzbuch kostenfrei, soweit sie in dieser jeweiligen Eigenschaft als Kläger oder Beklagte beteiligt sind. Nimmt ein sonstiger Rechtsnachfolger das Verfahren auf, bleibt das Verfahren in dem Rechtszug kostenfrei. Den in Satz 1 und 2 genannten Personen steht gleich, wer im Falle des Obsiegens zu diesen Personen gehören würde. Leistungsempfängern nach Satz 1 stehen Antragsteller nach § 55a Absatz 2 Satz 1 zweite Alternative gleich. § 93 Satz 3, § 109 Abs. 1 Satz 2, § 120 Absatz 1 Satz 2 und § 192 bleiben unberührt. Die Kostenfreiheit nach dieser Vorschrift gilt nicht in einem Verfahren wegen eines überlangen Gerichtsverfahrens (§ 202 Satz 2).</w:t>
      </w:r>
    </w:p>
    <w:p>
      <w:r>
        <w:rPr>
          <w:color w:val="555555"/>
          <w:sz w:val="17"/>
        </w:rPr>
        <w:t xml:space="preserve">Zitiervorschlag: § 183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