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178a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Auf die Rüge eines durch eine gerichtliche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Gegen eine der Endentscheidung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Tage nach Aufgabe zur Post als bekannt gegeben. Die Rüge ist schriftlich oder zu Protokoll des Urkundsbeamten der Geschäftsstelle bei dem Gericht zu erheben, dessen Entscheidung angegriffen wird. Die Rüge muss die angegriffene Entscheidung bezeichnen und das Vorliegen der in Absatz 1 Satz 1 Nr. 2 genannten Voraussetzungen darlegen.</w:t>
      </w:r>
    </w:p>
    <w:p>
      <w:r>
        <w:t xml:space="preserve">(3) Den übrigen Beteiligten ist, soweit erforderlich, Gelegenheit zur Stellungnahme zu geben.</w:t>
      </w:r>
    </w:p>
    <w:p>
      <w:r>
        <w:t xml:space="preserve">(4) Ist die Rüge nicht statthaft oder nicht in der gesetzlichen Form oder Frist erhoben, so ist sie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 Das Verfahren wird in die Lage zurückversetzt, in der es sich vor dem Schluss der mündlichen Verhandlung befand. In schriftlichen Verfahren tritt an die Stelle des Schlusses der mündlichen Verhandlung der Zeitpunkt, bis zu dem Schriftsätze eingereicht werden können. Für den Ausspruch des Gerichts ist § 343 der Zivilprozessordnung entsprechend anzuwenden.</w:t>
      </w:r>
    </w:p>
    <w:p>
      <w:r>
        <w:t xml:space="preserve">(6) § 175 Satz 3 ist entsprechend anzuwenden.</w:t>
      </w:r>
    </w:p>
    <w:p>
      <w:r>
        <w:rPr>
          <w:color w:val="555555"/>
          <w:sz w:val="17"/>
        </w:rPr>
        <w:t xml:space="preserve">Zitiervorschlag: § 178a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