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178 SGG</w:t>
      </w:r>
    </w:p>
    <w:p>
      <w:r>
        <w:rPr>
          <w:color w:val="555555"/>
          <w:sz w:val="18"/>
        </w:rPr>
        <w:t xml:space="preserve">Sozialgerichtsgesetz</w:t>
      </w:r>
    </w:p>
    <w:p>
      <w:r>
        <w:rPr>
          <w:color w:val="555555"/>
          <w:sz w:val="18"/>
        </w:rPr>
        <w:t xml:space="preserve">Stand: 10.06.2019 (konsolidierte Textfassung, kein amtliches Inkrafttretensdatum)</w:t>
      </w:r>
    </w:p>
    <w:p>
      <w:r>
        <w:t xml:space="preserve">Gegen die Entscheidungen des ersuchten oder beauftragten Richters oder des Urkundsbeamten kann binnen eines Monats nach Bekanntgabe das Gericht angerufen werden, das endgültig entscheidet. Die §§ 173 bis 175 gelten entsprechend.</w:t>
      </w:r>
    </w:p>
    <w:p>
      <w:r>
        <w:rPr>
          <w:color w:val="555555"/>
          <w:sz w:val="17"/>
        </w:rPr>
        <w:t xml:space="preserve">Zitiervorschlag: § 178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