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164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Die Revision ist bei dem Bundessozialgericht innerhalb eines Monats nach Zustellung des Urteils oder des Beschlusses über die Zulassung der Revision (§ 160a Absatz 4 Satz 1 oder § 161 Abs. 3 Satz 2) schriftlich einzulegen. Die Revision muß das angefochtene Urteil angeben; eine Ausfertigung oder beglaubigte Abschrift des angefochtenen Urteils soll beigefügt werden, sofern dies nicht schon nach § 160a Abs. 1 Satz 3 geschehen ist. Satz 2 zweiter Halbsatz gilt nicht, soweit nach § 65a elektronische Dokumente übermittelt werden.</w:t>
      </w:r>
    </w:p>
    <w:p>
      <w:r>
        <w:t xml:space="preserve">(2) Die Revision ist innerhalb von zwei Monaten nach Zustellung des Urteils oder des Beschlusses über die Zulassung der Revision zu begründen. Die Begründungsfrist kann auf einen vor ihrem Ablauf gestellten Antrag von dem Vorsitzenden verlängert werden. Die Begründung muß einen bestimmten Antrag enthalten, die verletzte Rechtsnorm und, soweit Verfahrensmängel gerügt werden, die Tatsachen bezeichnen, die den Mangel ergeben.</w:t>
      </w:r>
    </w:p>
    <w:p>
      <w:r>
        <w:rPr>
          <w:color w:val="555555"/>
          <w:sz w:val="17"/>
        </w:rPr>
        <w:t xml:space="preserve">Zitiervorschlag: § 164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