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162 SGG</w:t>
      </w:r>
    </w:p>
    <w:p>
      <w:r>
        <w:rPr>
          <w:color w:val="555555"/>
          <w:sz w:val="18"/>
        </w:rPr>
        <w:t xml:space="preserve">Sozialgerichtsgesetz</w:t>
      </w:r>
    </w:p>
    <w:p>
      <w:r>
        <w:rPr>
          <w:color w:val="555555"/>
          <w:sz w:val="18"/>
        </w:rPr>
        <w:t xml:space="preserve">Stand: 10.06.2019 (konsolidierte Textfassung, kein amtliches Inkrafttretensdatum)</w:t>
      </w:r>
    </w:p>
    <w:p>
      <w:r>
        <w:t xml:space="preserve">Die Revision kann nur darauf gestützt werden, daß das angefochtene Urteil auf der Verletzung einer Vorschrift des Bundesrechts oder einer sonstigen im Bezirk des Berufungsgerichts geltenden Vorschrift beruht, deren Geltungsbereich sich über den Bezirk des Berufungsgerichts hinaus erstreckt.</w:t>
      </w:r>
    </w:p>
    <w:p>
      <w:r>
        <w:rPr>
          <w:color w:val="555555"/>
          <w:sz w:val="17"/>
        </w:rPr>
        <w:t xml:space="preserve">Zitiervorschlag: § 162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