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das Urteil eines Landessozialgerichts und gegen den Beschluss nach § 55a Absatz 5 Satz 1 steht den Beteiligten die Revision an das Bundessozialgericht nur zu, wenn sie in der Entscheidung des Landessozialgerichts oder in dem Beschluß des Bundessozialgerichts nach § 160a Abs. 4 Satz 1 zugelassen worden ist.</w:t>
      </w:r>
    </w:p>
    <w:p>
      <w:r>
        <w:t xml:space="preserve">(2) Sie ist nur zuzulassen, wenn</w:t>
      </w:r>
    </w:p>
    <w:p>
      <w:pPr>
        <w:ind w:left="420"/>
      </w:pPr>
      <w:r>
        <w:t xml:space="preserve">1. die Rechtssache grundsätzliche Bedeutung hat oder</w:t>
      </w:r>
    </w:p>
    <w:p>
      <w:pPr>
        <w:ind w:left="420"/>
      </w:pPr>
      <w:r>
        <w:t xml:space="preserve">2. das Urteil von einer Entscheidung des Bundessozialgerichts, des Gemeinsamen Senats der obersten Gerichtshöfe des Bundes oder des Bundesverfassungsgerichts abweicht und auf dieser Abweichung beruht oder</w:t>
      </w:r>
    </w:p>
    <w:p>
      <w:pPr>
        <w:ind w:left="420"/>
      </w:pPr>
      <w:r>
        <w:t xml:space="preserve">3. ein Verfahrensmangel geltend gemacht wird, auf dem die angefochtene Entscheidung beruhen kann; der geltend gemachte Verfahrensmangel kann nicht auf eine Verletzung der §§ 109 und 128 Abs. 1 Satz 1 und auf eine Verletzung des § 103 nur gestützt werden, wenn er sich auf einen Beweisantrag bezieht, dem das Landessozialgericht ohne hinreichende Begründung nicht gefolgt ist.</w:t>
      </w:r>
    </w:p>
    <w:p>
      <w:r>
        <w:t xml:space="preserve">(3) Das Bundessozialgericht ist an die Zulassung gebunden.</w:t>
      </w:r>
    </w:p>
    <w:p>
      <w:r>
        <w:rPr>
          <w:color w:val="555555"/>
          <w:sz w:val="17"/>
        </w:rPr>
        <w:t xml:space="preserve">Zitiervorschlag: § 160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