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159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Landessozialgericht kann durch Urteil die angefochtene Entscheidung aufheben und die Sache an das Sozialgericht zurückverweisen, wenn</w:t>
      </w:r>
    </w:p>
    <w:p>
      <w:pPr>
        <w:ind w:left="420"/>
      </w:pPr>
      <w:r>
        <w:t xml:space="preserve">1. dieses die Klage abgewiesen hat, ohne in der Sache selbst zu entscheiden,</w:t>
      </w:r>
    </w:p>
    <w:p>
      <w:pPr>
        <w:ind w:left="420"/>
      </w:pPr>
      <w:r>
        <w:t xml:space="preserve">2. das Verfahren an einem wesentlichen Mangel leidet und auf Grund dieses Mangels eine umfangreiche und aufwändige Beweisaufnahme notwendig ist.</w:t>
      </w:r>
    </w:p>
    <w:p>
      <w:r>
        <w:t xml:space="preserve">(2) Das Sozialgericht hat die rechtliche Beurteilung, die der Aufhebung zugrunde gelegt ist, seiner Entscheidung zugrunde zu legen.</w:t>
      </w:r>
    </w:p>
    <w:p>
      <w:r>
        <w:rPr>
          <w:color w:val="555555"/>
          <w:sz w:val="17"/>
        </w:rPr>
        <w:t xml:space="preserve">Zitiervorschlag: § 159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