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157a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Neue Erklärungen und Beweismittel, die im ersten Rechtszug entgegen einer hierfür gesetzten Frist (§ 106a Abs. 1 und 2) nicht vorgebracht worden sind, kann das Gericht unter den Voraussetzungen des § 106a Abs. 3 zurückweisen.</w:t>
      </w:r>
    </w:p>
    <w:p>
      <w:r>
        <w:t xml:space="preserve">(2) Erklärungen und Beweismittel, die das Sozialgericht zu Recht zurückgewiesen hat, bleiben auch im Berufungsverfahren ausgeschlossen.</w:t>
      </w:r>
    </w:p>
    <w:p>
      <w:r>
        <w:rPr>
          <w:color w:val="555555"/>
          <w:sz w:val="17"/>
        </w:rPr>
        <w:t xml:space="preserve">Zitiervorschlag: § 157a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https://recht.nulegal.eu/gesetze/SGG/157a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