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Wird gemäß § 54 Abs. 4 oder 5 eine Leistung in Geld begehrt, auf die ein Rechtsanspruch besteht, so kann auch zur Leistung nur dem Grunde nach verurteilt werden. Hierbei kann im Urteil eine einmalige oder laufende vorläufige Leistung angeordnet werden. Die Anordnung der vorläufigen Leistung ist nicht anfechtbar.</w:t>
      </w:r>
    </w:p>
    <w:p>
      <w:r>
        <w:t xml:space="preserve">(2) Das Gericht kann durch Zwischenurteil über eine entscheidungserhebliche Sach- oder Rechtsfrage vorab entscheiden, wenn dies sachdienlich ist.</w:t>
      </w:r>
    </w:p>
    <w:p>
      <w:r>
        <w:rPr>
          <w:color w:val="555555"/>
          <w:sz w:val="17"/>
        </w:rPr>
        <w:t xml:space="preserve">Zitiervorschlag: § 130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