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118 SGG</w:t>
      </w:r>
    </w:p>
    <w:p>
      <w:r>
        <w:rPr>
          <w:color w:val="555555"/>
          <w:sz w:val="18"/>
        </w:rPr>
        <w:t xml:space="preserve">Sozialgerichtsgesetz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Soweit dieses Gesetz nichts anderes bestimmt, sind auf die Beweisaufnahme die §§ 358 bis 363, 365 bis 378, 380 bis 386, 387 Abs. 1 und 2, §§ 388 bis 390, 392 bis 406 Absatz 1 bis 4, die §§ 407 bis 444, 478 bis 484 der Zivilprozeßordnung entsprechend anzuwenden. Die Entscheidung über die Rechtmäßigkeit der Weigerung nach § 387 der Zivilprozeßordnung ergeht durch Beschluß.</w:t>
      </w:r>
    </w:p>
    <w:p>
      <w:r>
        <w:t xml:space="preserve">(2) Zeugen und Sachverständige werden nur beeidigt, wenn das Gericht dies im Hinblick auf die Bedeutung des Zeugnisses oder Gutachtens für die Entscheidung des Rechtsstreits für notwendig erachtet.</w:t>
      </w:r>
    </w:p>
    <w:p>
      <w:r>
        <w:t xml:space="preserve">(3) Der Vorsitzende kann das Auftreten eines Prozeßbevollmächtigten untersagen, solange die Partei trotz Anordnung ihres persönlichen Erscheinens unbegründet ausgeblieben ist und hierdurch der Zweck der Anordnung vereitelt wird.</w:t>
      </w:r>
    </w:p>
    <w:p>
      <w:r>
        <w:rPr>
          <w:color w:val="555555"/>
          <w:sz w:val="17"/>
        </w:rPr>
        <w:t xml:space="preserve">Zitiervorschlag: § 118 SGG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https://recht.nulegal.eu/gesetze/SGG/118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