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eröffnet und leitet die mündliche Verhandlung. Sie beginnt nach Aufruf der Sache mit der Darstellung des Sachverhalts.</w:t>
      </w:r>
    </w:p>
    <w:p>
      <w:r>
        <w:t xml:space="preserve">(2) Sodann erhalten die Beteiligten das Wort. Der Vorsitzende hat das Sach- und Streitverhältnis mit den Beteiligten zu erörtern und dahin zu wirken, daß sie sich über erhebliche Tatsachen vollständig erklären sowie angemessene und sachdienliche Anträge stellen.</w:t>
      </w:r>
    </w:p>
    <w:p>
      <w:r>
        <w:t xml:space="preserve">(3) Die Anträge können ergänzt, berichtigt oder im Rahmen des § 99 geändert werden.</w:t>
      </w:r>
    </w:p>
    <w:p>
      <w:r>
        <w:t xml:space="preserve">(4) Der Vorsitzende hat jedem Beisitzer auf Verlangen zu gestatten, sachdienliche Fragen zu stellen. Wird eine Frage von einem Beteiligten beanstandet, so entscheidet das Gericht endgültig.</w:t>
      </w:r>
    </w:p>
    <w:p>
      <w:r>
        <w:rPr>
          <w:color w:val="555555"/>
          <w:sz w:val="17"/>
        </w:rPr>
        <w:t xml:space="preserve">Zitiervorschlag: § 112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