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Der Vorsitzende kann das persönliche Erscheinen eines Beteiligten zur mündlichen Verhandlung anordnen sowie Zeugen und Sachverständige laden. Als persönliches Erscheinen gilt auch die nach § 110a Absatz 2 Satz 1 gestattete Teilnahme per Bild- und Tonübertragung. Auf die Folgen des Ausbleibens ist dabei hinzuweisen.</w:t>
      </w:r>
    </w:p>
    <w:p>
      <w:r>
        <w:t xml:space="preserve">(2) Die Ladung von Zeugen und Sachverständigen ist den Beteiligten bei der Mitteilung des Termins zur mündlichen Verhandlung bekanntzugeben.</w:t>
      </w:r>
    </w:p>
    <w:p>
      <w:r>
        <w:t xml:space="preserve">(3) Der Vorsitzende kann einem Beteiligten, der keine natürliche Person ist, aufgeben, zur mündlichen Verhandlung oder zu einem Termin nach § 106 Absatz 3 Nummer 7 einen Beamten oder Angestellten zu entsenden, der mit einem schriftlichen Nachweis über die Vertretungsbefugnis versehen und über die Sach- und Rechtslage ausreichend unterrichtet ist.</w:t>
      </w:r>
    </w:p>
    <w:p>
      <w:r>
        <w:rPr>
          <w:color w:val="555555"/>
          <w:sz w:val="17"/>
        </w:rPr>
        <w:t xml:space="preserve">Zitiervorschlag: § 111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