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SGG</w:t>
      </w:r>
    </w:p>
    <w:p>
      <w:r>
        <w:rPr>
          <w:color w:val="555555"/>
          <w:sz w:val="18"/>
        </w:rPr>
        <w:t xml:space="preserve">Sozialgerichtsgesetz</w:t>
      </w:r>
    </w:p>
    <w:p>
      <w:r>
        <w:rPr>
          <w:color w:val="555555"/>
          <w:sz w:val="18"/>
        </w:rPr>
        <w:t xml:space="preserve">Stand: 20.07.2024 (konsolidierte Textfassung, kein amtliches Inkrafttretensdatum)</w:t>
      </w:r>
    </w:p>
    <w:p>
      <w:r>
        <w:t xml:space="preserve">(1) Der Vorsitzende bestimmt Ort und Zeit der mündlichen Verhandlung und teilt sie den Beteiligten in der Regel zwei Wochen vorher mit. Die Beteiligten sind darauf hinzuweisen, daß im Falle ihres Ausbleibens nach Lage der Akten entschieden werden kann.</w:t>
      </w:r>
    </w:p>
    <w:p>
      <w:r>
        <w:t xml:space="preserve">(2) Das Gericht kann Sitzungen auch außerhalb des Gerichtssitzes abhalten, wenn dies zur sachdienlichen Erledigung notwendig ist.</w:t>
      </w:r>
    </w:p>
    <w:p>
      <w:r>
        <w:t xml:space="preserve">(3) § 227 Absatz 1 Satz 3 und Absatz 3 Satz 1 der Zivilprozessordnung ist nicht anzuwenden.</w:t>
      </w:r>
    </w:p>
    <w:p>
      <w:r>
        <w:rPr>
          <w:color w:val="555555"/>
          <w:sz w:val="17"/>
        </w:rPr>
        <w:t xml:space="preserve">Zitiervorschlag: § 110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