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106a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Vorsitzende kann dem Kläger eine Frist setzen zur Angabe der Tatsachen, durch deren Berücksichtigung oder Nichtberücksichtigung im Verwaltungsverfahren er sich beschwert fühlt.</w:t>
      </w:r>
    </w:p>
    <w:p>
      <w:r>
        <w:t xml:space="preserve">(2) Der Vorsitzende kann einem Beteiligten unter Fristsetzung aufgeben, zu bestimmten Vorgängen</w:t>
      </w:r>
    </w:p>
    <w:p>
      <w:pPr>
        <w:ind w:left="420"/>
      </w:pPr>
      <w:r>
        <w:t xml:space="preserve">1. Tatsachen anzugeben oder Beweismittel zu bezeichnen,</w:t>
      </w:r>
    </w:p>
    <w:p>
      <w:pPr>
        <w:ind w:left="420"/>
      </w:pPr>
      <w:r>
        <w:t xml:space="preserve">2. Urkunden oder andere bewegliche Sachen vorzulegen sowie elektronische Dokumente zu übermitteln, soweit der Beteiligte dazu verpflichtet ist.</w:t>
      </w:r>
    </w:p>
    <w:p>
      <w:r>
        <w:t xml:space="preserve">(3) Das Gericht kann Erklärungen und Beweismittel, die erst nach Ablauf einer nach den Absätzen 1 und 2 gesetzten Frist vorgebracht werden, zurückweisen und ohne weitere Ermittlungen entscheiden, wenn</w:t>
      </w:r>
    </w:p>
    <w:p>
      <w:pPr>
        <w:ind w:left="420"/>
      </w:pPr>
      <w:r>
        <w:t xml:space="preserve">1. ihre Zulassung nach der freien Überzeugung des Gerichts die Erledigung des Rechtsstreits verzögern würde und</w:t>
      </w:r>
    </w:p>
    <w:p>
      <w:pPr>
        <w:ind w:left="420"/>
      </w:pPr>
      <w:r>
        <w:t xml:space="preserve">2. der Beteiligte die Verspätung nicht genügend entschuldigt und</w:t>
      </w:r>
    </w:p>
    <w:p>
      <w:pPr>
        <w:ind w:left="420"/>
      </w:pPr>
      <w:r>
        <w:t xml:space="preserve">3. der Beteiligte über die Folgen einer Fristversäumung belehrt worden ist.</w:t>
      </w:r>
    </w:p>
    <w:p>
      <w:r>
        <w:t xml:space="preserve">Der Entschuldigungsgrund ist auf Verlangen des Gerichts glaubhaft zu machen. Satz 1 gilt nicht, wenn es mit geringem Aufwand möglich ist, den Sachverhalt auch ohne Mitwirkung des Beteiligten zu ermitteln.</w:t>
      </w:r>
    </w:p>
    <w:p>
      <w:r>
        <w:rPr>
          <w:color w:val="555555"/>
          <w:sz w:val="17"/>
        </w:rPr>
        <w:t xml:space="preserve">Zitiervorschlag: § 106a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https://recht.nulegal.eu/gesetze/SGG/106a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