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SGFFG — Erstattung von Investitionsmitteln des Bundes</w:t>
      </w:r>
    </w:p>
    <w:p>
      <w:r>
        <w:rPr>
          <w:color w:val="555555"/>
          <w:sz w:val="18"/>
        </w:rPr>
        <w:t xml:space="preserve">Schienengüterfernverkehrsnetzförderungsgesetz</w:t>
      </w:r>
    </w:p>
    <w:p>
      <w:r>
        <w:rPr>
          <w:color w:val="555555"/>
          <w:sz w:val="18"/>
        </w:rPr>
        <w:t xml:space="preserve">Stand: 01.07.2021 (konsolidierte Textfassung, kein amtliches Inkrafttretensdatum)</w:t>
      </w:r>
    </w:p>
    <w:p>
      <w:r>
        <w:t xml:space="preserve">(1) Soweit die öffentlichen nicht bundeseigenen Eisenbahnen vom Bund anteilig finanzierte Anlagen im Sinne des § 2 Absatz 1 und 6 stilllegen, zweckentfremden, nicht betriebsbereit vorhalten oder auf andere Eisenbahninfrastrukturbetreiber übertragen, sind die gewährten Bundesmittel vom Empfänger, anteilig im Verhältnis von tatsächlicher Nutzungszeit zu technisch möglicher und üblicher Nutzungszeit, an den Bund zu erstatten.</w:t>
      </w:r>
    </w:p>
    <w:p>
      <w:r>
        <w:t xml:space="preserve">(2) Die Erstattungspflicht nach Absatz 1 Satz 1 entfällt im Fall der Übertragung der Schienenwege auf einen anderen Infrastrukturbetreiber, wenn</w:t>
      </w:r>
    </w:p>
    <w:p>
      <w:pPr>
        <w:ind w:left="420"/>
      </w:pPr>
      <w:r>
        <w:t xml:space="preserve">1. der übernehmende Infrastrukturbetreiber den Betrieb, den Bau und die Unterhaltung der Schienenwege übernimmt und</w:t>
      </w:r>
    </w:p>
    <w:p>
      <w:pPr>
        <w:ind w:left="420"/>
      </w:pPr>
      <w:r>
        <w:t xml:space="preserve">2. er gewährleistet, dass die ihm übertragenen Schienenwege langfristig, mindestens jedoch bis zum Ende der möglichen und üblichen Nutzungszeit der vom Bund finanzierten Anlagen als öffentliche Eisenbahninfrastruktur im Sinne des § 3 Absatz 1 des Allgemeinen Eisenbahngesetzes betrieben werden. Unterschreitet der übernehmende Infrastrukturbetreiber diese Nutzungszeit, ist er dem Bund anteilig zur Erstattung der nach Absatz 1 fälligen Erstattungen verpflichtet.</w:t>
      </w:r>
    </w:p>
    <w:p>
      <w:r>
        <w:t xml:space="preserve">(3) Soweit der übernehmende Infrastrukturbetreiber für die Übernahme der Infrastruktur ein Entgelt an die nicht bundeseigenen Eisenbahnen zu entrichten hat, steht dieses Entgelt bis zur Höhe der nach Absatz 1 bei Stilllegung, Zweckentfremdung oder Nichtbetriebsbereithalten der Infrastruktur zu erstattenden Bundesmittel dem Bund zu. Das Eisenbahn-Bundesamt ist ermächtigt, den entsprechenden Erstattungsbescheid sowohl an den Zuwendungsempfänger als auch an den übernehmenden Infrastrukturbetreiber zu richten.</w:t>
      </w:r>
    </w:p>
    <w:p>
      <w:r>
        <w:t xml:space="preserve">(4) Die Anwendung des Absatzes 2 ist ausgeschlossen, wenn die Verwendung der Fördermittel des Bundes durch die nicht bundeseigenen Eisenbahnen mit dem Ziel erfolgt ist, die Schienenwege an andere Eisenbahninfrastrukturbetreiber zu übertragen.</w:t>
      </w:r>
    </w:p>
    <w:p>
      <w:r>
        <w:rPr>
          <w:color w:val="555555"/>
          <w:sz w:val="17"/>
        </w:rPr>
        <w:t xml:space="preserve">Zitiervorschlag: § 4 SGFFG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https://recht.nulegal.eu/gesetze/SGFFG/4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