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SGFFG — Anwendungsbereich</w:t>
      </w:r>
    </w:p>
    <w:p>
      <w:r>
        <w:rPr>
          <w:color w:val="555555"/>
          <w:sz w:val="18"/>
        </w:rPr>
        <w:t xml:space="preserve">Schienengüterfernverkehrsnetzförderungsgesetz</w:t>
      </w:r>
    </w:p>
    <w:p>
      <w:r>
        <w:rPr>
          <w:color w:val="555555"/>
          <w:sz w:val="18"/>
        </w:rPr>
        <w:t xml:space="preserve">Stand: 30.07.2026 (konsolidierte Textfassung, kein amtliches Inkrafttretensdatum)</w:t>
      </w:r>
    </w:p>
    <w:p>
      <w:r>
        <w:t xml:space="preserve">(1) Der Bund fördert Investitionen in die Schienenwege der öffentlichen nicht bundeseigenen Eisenbahnen (Ersatz, Aus- und Neubau), die dem Schienengüterfernverkehr dienen. Dies schließt nicht aus, dass diese Schienenwege auch von anderen Schienenverkehren genutzt werden.</w:t>
      </w:r>
    </w:p>
    <w:p>
      <w:r>
        <w:t xml:space="preserve">(2) Eine Förderung setzt voraus, dass diskriminierungsfreier Zugang zu den Schienenwegen gemäß den Vorschriften des Eisenbahnregulierungsgesetzes vom 29. August 2016 (BGBl. I S. 2082), das zuletzt durch Artikel 2 des Gesetzes vom 29. Juni 2020 (BGBl. I S. 1531) geändert worden ist, in der jeweils geltenden Fassung, gewährt wird.</w:t>
      </w:r>
    </w:p>
    <w:p>
      <w:r>
        <w:t xml:space="preserve">(3) Für den Begriff der Schienenwege gilt § 8 Absatz 5 des Bundesschienenwegeausbaugesetzes vom 15. November 1993 (BGBl. I S. 1874), das zuletzt durch Artikel 1 des Gesetzes vom 23. Dezember 2016 (BGBl. I S. 3221) geändert worden ist.</w:t>
      </w:r>
    </w:p>
    <w:p>
      <w:r>
        <w:t xml:space="preserve">(4) Schienengüterfernverkehr sind Schienengütertransporte, die über eine Mindestdistanz von 50 Kilometern durchgeführt werden.</w:t>
      </w:r>
    </w:p>
    <w:p>
      <w:r>
        <w:t xml:space="preserve">(5) Förderfähig sind Ersatzinvestitionen in Schienenwege,</w:t>
      </w:r>
    </w:p>
    <w:p>
      <w:pPr>
        <w:ind w:left="420"/>
      </w:pPr>
      <w:r>
        <w:t xml:space="preserve">1. die von Güterzügen grundsätzlich mit einer zugelassenen Streckengeschwindigkeit von mindestens 30 Kilometern pro Stunde befahren werden können,</w:t>
      </w:r>
    </w:p>
    <w:p>
      <w:pPr>
        <w:ind w:left="420"/>
      </w:pPr>
      <w:r>
        <w:t xml:space="preserve">2. die durchgängig eine zulässige Radsatzlast von mindestens 20 Tonnen und ein Fahrzeuggewicht je Längeneinheit von mindestens 6,4 Tonnen pro Meter aufnehmen können,</w:t>
      </w:r>
    </w:p>
    <w:p>
      <w:pPr>
        <w:ind w:left="420"/>
      </w:pPr>
      <w:r>
        <w:t xml:space="preserve">3. die eine nicht bundeseigene Eisenbahn betreibt und an denen sie auch zur Durchführung von Ersatzmaßnahmen berechtigt ist,</w:t>
      </w:r>
    </w:p>
    <w:p>
      <w:pPr>
        <w:ind w:left="420"/>
      </w:pPr>
      <w:r>
        <w:t xml:space="preserve">4. auf denen in dem letzten Jahr vor Antragstellung Schienengüterfernverkehr stattgefunden hat. Satz 1 Nummer 4 ist nicht erfüllt, sofern erkennbar ist, dass künftig kein Schienengüterfernverkehr auf diesen Schienenwegen stattfinden wird.</w:t>
      </w:r>
    </w:p>
    <w:p>
      <w:r>
        <w:t xml:space="preserve">Unter den Voraussetzungen des Satzes 1 Nummer 2 bis 4 werden auch Ersatzinvestitionen in Schienenwege in Serviceeinrichtungen nach Anlage 2 Nummer 2 Buchstabe c und d des Eisenbahnregulierungsgesetzes und in Schienenwege in See- und Binnenhäfen gefördert. Die Sätze 1 und 2 gelten nicht, wenn die Schienenwege für die Nutzung durch andere Arten von Verkehrsleistungen als Schienengüterfernverkehr ausgewiesen sind.</w:t>
      </w:r>
    </w:p>
    <w:p>
      <w:r>
        <w:t xml:space="preserve">(6) Förderfähig sind Investitionen in Schienenwege hinsichtlich eines Aus- und Neubaus, wenn</w:t>
      </w:r>
    </w:p>
    <w:p>
      <w:pPr>
        <w:ind w:left="420"/>
      </w:pPr>
      <w:r>
        <w:t xml:space="preserve">1. die Investitionen die Durchführung von Verkehren des Schienengüterfernverkehrs verbessern oder ermöglichen,</w:t>
      </w:r>
    </w:p>
    <w:p>
      <w:pPr>
        <w:ind w:left="420"/>
      </w:pPr>
      <w:r>
        <w:t xml:space="preserve">2. die Schienenwege nach Durchführung der Investitionen mit einer Streckengeschwindigkeit von in der Regel mindestens 50 Kilometern pro Stunde befahren werden können,</w:t>
      </w:r>
    </w:p>
    <w:p>
      <w:pPr>
        <w:ind w:left="420"/>
      </w:pPr>
      <w:r>
        <w:t xml:space="preserve">3. die Schienenwege nach Durchführung der Investitionen durchgängig eine zulässige Radsatzlast von mindestens 22,5 Tonnen und ein Fahrzeuggewicht je Längeneinheit von mindestens 8 Tonnen pro Meter aufnehmen können,</w:t>
      </w:r>
    </w:p>
    <w:p>
      <w:pPr>
        <w:ind w:left="420"/>
      </w:pPr>
      <w:r>
        <w:t xml:space="preserve">4. eine nicht bundeseigene Eisenbahn zur Durchführung der Investitionen berechtigt ist und die Schienenwege betreibt oder betreiben wird,</w:t>
      </w:r>
    </w:p>
    <w:p>
      <w:pPr>
        <w:ind w:left="420"/>
      </w:pPr>
      <w:r>
        <w:t xml:space="preserve">5. für die Investitionen zum Zeitpunkt der schriftlichen Antragstellung alle erforderlichen planungsrechtlichen oder baurechtlichen Genehmigungsverfahren bereits abgeschlossen sind,</w:t>
      </w:r>
    </w:p>
    <w:p>
      <w:pPr>
        <w:ind w:left="420"/>
      </w:pPr>
      <w:r>
        <w:t xml:space="preserve">6. der Kapitalwert der Investitionen nach der Kapitalwertmethode ohne Förderung negativ ist und mit Förderung mindestens null beträgt, und</w:t>
      </w:r>
    </w:p>
    <w:p>
      <w:pPr>
        <w:ind w:left="420"/>
      </w:pPr>
      <w:r>
        <w:t xml:space="preserve">7. aus den auf diesen Schienenwegen auf Grund der Investitionen zu erwartenden Mehrverkehren des Schienengüterfernverkehrs ein volkswirtschaftlicher Nutzen im Verhältnis zu den Fördermitteln des Bundes von nicht kleiner als eins resultiert.</w:t>
      </w:r>
    </w:p>
    <w:p>
      <w:r>
        <w:t xml:space="preserve">Unter den Voraussetzungen des Satzes 1 Nummer 1 und 3 bis 7 werden auch Aus- und Neubauinvestitionen in Schienenwege in Serviceeinrichtungen nach Anlage 2 Nummer 2 Buchstabe c und d des Eisenbahnregulierungsgesetzes und in Schienenwege in See- und Binnenhäfen gefördert.</w:t>
      </w:r>
    </w:p>
    <w:p>
      <w:r>
        <w:t xml:space="preserve">(7) Auf die Förderung von Investitionen in Schienenwege, die ausschließlich der wirtschaftlichen Tätigkeit eines Hafens zugutekommen, und in jede Art von Schienenwegen, die für den Zugang der Nutzer zu einem Hafen erforderlich sind, findet die Verordnung (EU) Nr. 651/2014 der Kommission vom 17. Juni 2014 zur Feststellung der Vereinbarkeit bestimmter Gruppen von Beihilfen mit dem Binnenmarkt in Anwendung der Artikel 107 und 108 des Vertrags über die Arbeitsweise der Europäischen Union, in der jeweils gültigen Fassung, Anwendung. Die Förderung erfolgt bis zum Wegfall der Freistellungsvoraussetzung der Verordnung (EU) Nr. 651/2014 oder eines Rechtsaktes, der an die Stelle der Verordnung (EU) Nr. 651/2014 tritt.</w:t>
      </w:r>
    </w:p>
    <w:p>
      <w:r>
        <w:rPr>
          <w:color w:val="555555"/>
          <w:sz w:val="17"/>
        </w:rPr>
        <w:t xml:space="preserve">Zitiervorschlag: § 1 SGFFG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https://recht.nulegal.eu/gesetze/SGFFG/1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