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SGBXIVBSchAV</w:t>
      </w:r>
    </w:p>
    <w:p>
      <w:r>
        <w:rPr>
          <w:color w:val="555555"/>
          <w:sz w:val="18"/>
        </w:rPr>
        <w:t xml:space="preserve">SGBXIV-Berufsschadensausgleichsverordnung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91 des Vierzehnten Buches Sozialgesetzbuch – Soziale Entschädigung – vom 12. Dezember 2019 (BGBl. I S. 2652)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SGBXIVBSchAV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https://recht.nulegal.eu/gesetze/SGBXIVBSchAV/eingangsformel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