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SGBXIVBSchAV — Zuordnung bei Nachschaden gemäß § 89 Absatz 8 des Vierzehnten Buches Sozialgesetzbuch sowie bei berücksichtigungsfähigem Schaden nach einem Nachschaden</w:t>
      </w:r>
    </w:p>
    <w:p>
      <w:r>
        <w:rPr>
          <w:color w:val="555555"/>
          <w:sz w:val="18"/>
        </w:rPr>
        <w:t xml:space="preserve">SGBXIV-Berufsschadensausgleichsverordnung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Bei einem Nachschaden im Sinne des § 89 Absatz 8 des Vierzehnten Buches Sozialgesetzbuch bleibt es bei der bisherigen Zuordnung.</w:t>
      </w:r>
    </w:p>
    <w:p>
      <w:r>
        <w:t xml:space="preserve">(2) Bei einem berücksichtigungsfähigen Schaden nach einem Nachschaden erfolgt die Zuordnung nach den §§ 2 bis 5 mit der Maßgabe, dass die Besoldungsgruppe zugrunde gelegt wird, der Geschädigte aufgrund der Schädigungsfolgen ohne Berücksichtigung des Nachschadens zugeordnet würden. Ein berücksichtigungsfähiger Schaden nach einem Nachschaden gemäß Satz 1 liegt vor, wenn nach einem Nachschaden gemäß § 89 Absatz 8 des Vierzehnten Buches Sozialgesetzbuch eine weitere gesundheitliche Schädigung im Sinne § 4 des Vierzehnten Buches Sozialgesetzbuch oder eine Verschlimmerung einer bereits festgestellten Schädigung im Sinne von § 4 des Vierzehnten Buches Sozialgesetzbuch eintritt.</w:t>
      </w:r>
    </w:p>
    <w:p>
      <w:r>
        <w:rPr>
          <w:color w:val="555555"/>
          <w:sz w:val="17"/>
        </w:rPr>
        <w:t xml:space="preserve">Zitiervorschlag: § 6 SGBXIVBSchAV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https://recht.nulegal.eu/gesetze/SGBXIVBSchAV/6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