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SGBXIVBSchAV — Zuordnung und Regelung bei mehreren Tätigkeiten oder bei Führen eines gemeinsamen Haushaltes</w:t>
      </w:r>
    </w:p>
    <w:p>
      <w:r>
        <w:rPr>
          <w:color w:val="555555"/>
          <w:sz w:val="18"/>
        </w:rPr>
        <w:t xml:space="preserve">SGBXIV-Berufsschadensausgleichsverordnung</w:t>
      </w:r>
    </w:p>
    <w:p>
      <w:r>
        <w:rPr>
          <w:color w:val="555555"/>
          <w:sz w:val="18"/>
        </w:rPr>
        <w:t xml:space="preserve">Stand: 01.01.2024 (konsolidierte Textfassung, kein amtliches Inkrafttretensdatum)</w:t>
      </w:r>
    </w:p>
    <w:p>
      <w:r>
        <w:t xml:space="preserve">(1) Hätten Geschädigte ohne die Schädigung</w:t>
      </w:r>
    </w:p>
    <w:p>
      <w:pPr>
        <w:ind w:left="420"/>
      </w:pPr>
      <w:r>
        <w:t xml:space="preserve">1. neben der Haupterwerbstätigkeit eine oder mehrere Nebenerwerbstätigkeiten ausgeübt oder einen gemeinsamen Haushalt im Sinne des § 89 Absatz 9 des Vierzehnten Buches Sozialgesetzbuch geführt, werden sie der der Haupterwerbstätigkeit entsprechenden Besoldungsgruppe zugeordnet,</w:t>
      </w:r>
    </w:p>
    <w:p>
      <w:pPr>
        <w:ind w:left="420"/>
      </w:pPr>
      <w:r>
        <w:t xml:space="preserve">2. mehrere Erwerbstätigkeiten, von denen jede den gleichen Zeitaufwand erfordert, ausgeübt oder in diesem Umfang sowohl Erwerbstätigkeiten ausgeübt als auch einen gemeinsamen Haushalt geführt, wobei diese Tätigkeiten zusammen die volle Arbeitszeit erfordern, werden sie der höchsten der für die ausgeübten Tätigkeiten maßgebenden Besoldungsgruppe zugeordnet.</w:t>
      </w:r>
    </w:p>
    <w:p>
      <w:r>
        <w:t xml:space="preserve">(2) Erfordern die Erwerbstätigkeiten, die der oder die Geschädigte allein oder zusammen mit dem Führen eines gemeinsamen Haushalts ohne die Schädigung ausgeübt hätte, nicht die volle Arbeitszeit, ist ein dem Einsatz an Arbeitszeit für die Erwerbstätigkeit entsprechender Teil des Vergleichseinkommens nach § 89 Absatz 3 des Vierzehnten Buches Sozialgesetzbuch maßgebend.</w:t>
      </w:r>
    </w:p>
    <w:p>
      <w:r>
        <w:t xml:space="preserve">(3) Würden Geschädigte ohne Schädigung einer Erwerbstätigkeit nachgehen und einen gemeinsamen Haushalt führen, so ist sowohl der Berufsschadensausgleich aus der Erwerbstätigkeit als auch der Berufsschadensausgleich nach § 89 Absatz 9 des Vierzehnten Buches Sozialgesetzbuch aus den Mehraufwendungen für das Führen eines gemeinsamen Haushalts festzustellen. Der zustehende Berufsschadensausgleich ist die Summe beider Beträge, höchstens jedoch der Berufsschadensausgleich, der sich ergibt, wenn das volle Vergleichseinkommen nach § 89 Absatz 3 des Vierzehnten Buches Sozialgesetzbuch für die Erwerbstätigkeit zugrunde gelegt werden würde.</w:t>
      </w:r>
    </w:p>
    <w:p>
      <w:r>
        <w:t xml:space="preserve">(4) Die Absätze 1 bis 3 sind unabhängig davon anwendbar, ob Geschädigte weiterhin eine Erwerbstätigkeit ausüben oder nicht mehr erwerbstätig sind.</w:t>
      </w:r>
    </w:p>
    <w:p>
      <w:r>
        <w:rPr>
          <w:color w:val="555555"/>
          <w:sz w:val="17"/>
        </w:rPr>
        <w:t xml:space="preserve">Zitiervorschlag: § 5 SGBXIVBSchAV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https://recht.nulegal.eu/gesetze/SGBXIVBSchAV/5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