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SGBXIVBSchAV — Grundlagen für die Ermittlung des Durchschnittseinkommens nach § 89 Absatz 3 des Vierzehnten Buches Sozialgesetzbuch</w:t>
      </w:r>
    </w:p>
    <w:p>
      <w:r>
        <w:rPr>
          <w:color w:val="555555"/>
          <w:sz w:val="18"/>
        </w:rPr>
        <w:t xml:space="preserve">SGBXIV-Berufsschadensausgleichsverordnung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Zur Bestimmung des Vergleichseinkommens und zur Ermittlung des Durchschnittseinkommens nach § 89 Absatz 3 des Vierzehnten Buches Sozialgesetzbuch wird das Grundgehalt der Stufe 8 derjenigen Besoldungsgruppe der Bundesbesoldungsordnung A nach Anlage IV des Bundesbesoldungsgesetzes zugrunde gelegt, der die Geschädigten unter Beachtung der §§ 3 bis 6 ohne die Schädigung zugeordnet würden. Dieses Grundgehalt wird um den Familienzuschlag der Stufe 1 nach Anlage V des Bundesbesoldungsgesetzes erhöht.</w:t>
      </w:r>
    </w:p>
    <w:p>
      <w:r>
        <w:t xml:space="preserve">(2) Absatz 1 ist unabhängig davon anwendbar, ob Geschädigte weiterhin eine Erwerbstätigkeit ausüben oder nicht mehr erwerbstätig sind.</w:t>
      </w:r>
    </w:p>
    <w:p>
      <w:r>
        <w:rPr>
          <w:color w:val="555555"/>
          <w:sz w:val="17"/>
        </w:rPr>
        <w:t xml:space="preserve">Zitiervorschlag: § 2 SGBXIVBSchAV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https://recht.nulegal.eu/gesetze/SGBXIVBSchAV/2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