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SGBXIVBSchAV — Inkrafttreten</w:t>
      </w:r>
    </w:p>
    <w:p>
      <w:r>
        <w:rPr>
          <w:color w:val="555555"/>
          <w:sz w:val="18"/>
        </w:rPr>
        <w:t xml:space="preserve">SGBXIV-Berufsschadensausgleichsverordnung</w:t>
      </w:r>
    </w:p>
    <w:p>
      <w:r>
        <w:rPr>
          <w:color w:val="555555"/>
          <w:sz w:val="18"/>
        </w:rPr>
        <w:t xml:space="preserve">Stand: 01.01.2024 (konsolidierte Textfassung, kein amtliches Inkrafttretensdatum)</w:t>
      </w:r>
    </w:p>
    <w:p>
      <w:r>
        <w:t xml:space="preserve">Diese Verordnung tritt am 1. Januar 2024 in Kraft.</w:t>
      </w:r>
    </w:p>
    <w:p>
      <w:r>
        <w:rPr>
          <w:color w:val="555555"/>
          <w:sz w:val="17"/>
        </w:rPr>
        <w:t xml:space="preserve">Zitiervorschlag: § 12 SGBXIVBSchAV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https://recht.nulegal.eu/gesetze/SGBXIVBSchAV/12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