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SGBXISchVO (Nordrhein-Westfalen) — Amtsperiode</w:t>
      </w:r>
    </w:p>
    <w:p>
      <w:r>
        <w:rPr>
          <w:color w:val="555555"/>
          <w:sz w:val="18"/>
        </w:rPr>
        <w:t xml:space="preserve">SGB-XI-Schiedsstellenverordnung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Amtsperiode der Mitglieder der Schiedsstelle sowie ihrer Stellvertretungen beträgt vier Jahre. Die Amtsdauer der während einer Amtsperiode neu hinzugetretenen Mitglieder endet mit dem Ablauf der Amtsperiode.</w:t>
      </w:r>
    </w:p>
    <w:p>
      <w:r>
        <w:t xml:space="preserve">(2) Die Mitglieder bleiben nach Ablauf der Amtsperiode bis zu ihrer erneuten Bestellung oder der Bestellung ihrer Nachfolge im Amt.</w:t>
      </w:r>
    </w:p>
    <w:p>
      <w:r>
        <w:rPr>
          <w:color w:val="555555"/>
          <w:sz w:val="17"/>
        </w:rPr>
        <w:t xml:space="preserve">Zitiervorschlag: § 4 SGBXISchVO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https://recht.nulegal.eu/gesetze/SGBXISchVO/4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