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SGBBeglV</w:t>
      </w:r>
    </w:p>
    <w:p>
      <w:r>
        <w:rPr>
          <w:color w:val="555555"/>
          <w:sz w:val="18"/>
        </w:rPr>
        <w:t xml:space="preserve">SGB-Beglaubigungsverordnung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29 Abs. 1 Satz 2 und Abs. 4 und des § 30 Abs. 1 Satz 1 und Abs. 4 in Verbindung mit Abs. 5 des Zehnten Buches Sozialgesetzbuch - Sozialverwaltungsverfahren und Sozialdatenschutz - in der Fassung der Bekanntmachung vom 18. Januar 2001 (BGBl. I S. 130), § 29 Abs. 4 neu gefasst durch Artikel 3 Nr. 6 Buchstabe b des Gesetzes vom 21. August 2002 (BGBl. I S. 3322), verordnet die Bundesregierung:</w:t>
      </w:r>
    </w:p>
    <w:p>
      <w:r>
        <w:rPr>
          <w:color w:val="555555"/>
          <w:sz w:val="17"/>
        </w:rPr>
        <w:t xml:space="preserve">Zitiervorschlag: Eingangsformel SGBBeglV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https://recht.nulegal.eu/gesetze/SGBBeglV/eingangsformel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