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SGBBeglV — Inkrafttreten, Außerkrafttreten</w:t>
      </w:r>
    </w:p>
    <w:p>
      <w:r>
        <w:rPr>
          <w:color w:val="555555"/>
          <w:sz w:val="18"/>
        </w:rPr>
        <w:t xml:space="preserve">SGB-Beglaubigungsverordnung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mit Wirkung vom 1. Februar 2003 in Kraft.</w:t>
      </w:r>
    </w:p>
    <w:p>
      <w:r>
        <w:rPr>
          <w:color w:val="555555"/>
          <w:sz w:val="17"/>
        </w:rPr>
        <w:t xml:space="preserve">Zitiervorschlag: § 2 SGBBeglV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https://recht.nulegal.eu/gesetze/SGBBeglV/2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