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Eingangsformel SGB4ErgG</w:t>
      </w:r>
    </w:p>
    <w:p>
      <w:r>
        <w:rPr>
          <w:color w:val="555555"/>
          <w:sz w:val="18"/>
        </w:rPr>
        <w:t xml:space="preserve">Gesetz zur Einordnung der Vorschriften über die Meldepflichten des Arbeitgebers in der Kranken- und Rentenversicherung sowie im Arbeitsförderungsrecht und über den Einzug des Gesamtsozialversicherungsbeitrags in das Vierte Buch Sozialgesetzbuch - Gemeinsame Vorschriften für die Sozialversicherung -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SGB4ErgG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https://recht.nulegal.eu/gesetze/SGB4ErgG/eingangsformel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Eingangsformel SGB4ErgG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