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SGB3EntGRuhV</w:t>
      </w:r>
    </w:p>
    <w:p>
      <w:r>
        <w:rPr>
          <w:color w:val="555555"/>
          <w:sz w:val="18"/>
        </w:rPr>
        <w:t xml:space="preserve">Verordnung über das Ruhen von Entgeltersatzleistungen nach dem Dritten Buch Sozialgesetzbuch bei Zusammentreffen mit Versorgungsleistungen der Sonderversorgungssysteme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Rente wegen voller Erwerbsminderung im Sinne des § 156 Absatz 1 Nummer 3 des Dritten Buches Sozialgesetzbuch steht die Dienstbeschädigungsteilrente im Sinne des § 9 Abs. 1 Nr. 2 des Anspruchs- und Anwartschaftsüberführungsgesetzes gleich. § 1 Abs. 2 Satz 2 gilt entsprechend.</w:t>
      </w:r>
    </w:p>
    <w:p>
      <w:r>
        <w:rPr>
          <w:color w:val="555555"/>
          <w:sz w:val="17"/>
        </w:rPr>
        <w:t xml:space="preserve">Zitiervorschlag: § 2 SGB3EntGRuhV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https://recht.nulegal.eu/gesetze/SGB3EntGRuhV/2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SGB3EntGRuhV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