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SGB2§51bDatV — Inkrafttreten</w:t>
      </w:r>
    </w:p>
    <w:p>
      <w:r>
        <w:rPr>
          <w:color w:val="555555"/>
          <w:sz w:val="18"/>
        </w:rPr>
        <w:t xml:space="preserve">Verordnung zur Erhebung der Daten nach § 51b des Zweiten Buches Sozialgesetzbuch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23. August 2010 in Kraft.</w:t>
      </w:r>
    </w:p>
    <w:p>
      <w:r>
        <w:rPr>
          <w:color w:val="555555"/>
          <w:sz w:val="17"/>
        </w:rPr>
        <w:t xml:space="preserve">Zitiervorschlag: § 3 SGB2§51bDatV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https://recht.nulegal.eu/gesetze/SGB2%C2%A751bDatV/3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