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SGB 9 2018 — Reisekosten</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Als Reisekosten werden die erforderlichen Fahr-, Verpflegungs- und Übernachtungskosten übernommen, die im Zusammenhang mit der Ausführung einer Leistung zur medizinischen Rehabilitation oder zur Teilhabe am Arbeitsleben stehen. Zu den Reisekosten gehören auch die Kosten</w:t>
      </w:r>
    </w:p>
    <w:p>
      <w:pPr>
        <w:ind w:left="420"/>
      </w:pPr>
      <w:r>
        <w:t xml:space="preserve">1. für besondere Beförderungsmittel, deren Inanspruchnahme wegen der Art oder Schwere der Behinderung erforderlich ist,</w:t>
      </w:r>
    </w:p>
    <w:p>
      <w:pPr>
        <w:ind w:left="420"/>
      </w:pPr>
      <w:r>
        <w:t xml:space="preserve">2. für eine wegen der Behinderung erforderliche Begleitperson einschließlich des für die Zeit der Begleitung entstehenden Verdienstausfalls,</w:t>
      </w:r>
    </w:p>
    <w:p>
      <w:pPr>
        <w:ind w:left="420"/>
      </w:pPr>
      <w:r>
        <w:t xml:space="preserve">3. für Kinder, deren Mitnahme an den Rehabilitationsort erforderlich ist, weil ihre anderweitige Betreuung nicht sichergestellt ist sowie</w:t>
      </w:r>
    </w:p>
    <w:p>
      <w:pPr>
        <w:ind w:left="420"/>
      </w:pPr>
      <w:r>
        <w:t xml:space="preserve">4. für den erforderlichen Gepäcktransport.</w:t>
      </w:r>
    </w:p>
    <w:p>
      <w:r>
        <w:t xml:space="preserve">(2) Während der Ausführung von Leistungen zur Teilhabe am Arbeitsleben werden im Regelfall auch Reisekosten für zwei Familienheimfahrten je Monat übernommen. Anstelle der Kosten für die Familienheimfahrten können für Fahrten von Angehörigen vom Wohnort zum Aufenthaltsort der Leistungsempfänger und zurück Reisekosten übernommen werden.</w:t>
      </w:r>
    </w:p>
    <w:p>
      <w:r>
        <w:t xml:space="preserve">(3) Reisekosten nach Absatz 2 werden auch im Zusammenhang mit Leistungen zur medizinischen Rehabilitation übernommen, wenn die Leistungen länger als acht Wochen erbracht werden.</w:t>
      </w:r>
    </w:p>
    <w:p>
      <w:r>
        <w:t xml:space="preserve">(4) Fahrkosten werden in Höhe des Betrages zugrunde gelegt, der bei Benutzung eines regelmäßig verkehrenden öffentlichen Verkehrsmittels der niedrigsten Beförderungsklasse des zweckmäßigsten öffentlichen Verkehrsmittels zu zahlen ist, bei Benutzung sonstiger Verkehrsmittel in Höhe der Wegstreckenentschädigung nach § 5 Absatz 1 des Bundesreisekostengesetzes. Bei Fahrpreiserhöhungen, die nicht geringfügig sind, hat auf Antrag des Leistungsempfängers eine Anpassung der Fahrkostenentschädigung zu erfolgen, wenn die Maßnahme noch mindestens zwei weitere Monate andauert. Kosten für Pendelfahrten können nur bis zur Höhe des Betrages übernommen werden, der unter Berücksichtigung von Art und Schwere der Behinderung bei einer zumutbaren auswärtigen Unterbringung für Unterbringung und Verpflegung zu leisten wäre.</w:t>
      </w:r>
    </w:p>
    <w:p>
      <w:r>
        <w:rPr>
          <w:color w:val="555555"/>
          <w:sz w:val="17"/>
        </w:rPr>
        <w:t xml:space="preserve">Zitiervorschlag: § 73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