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SGB 9 2018 — Wahlrecht des Menschen mit Behinderungen</w:t>
      </w:r>
    </w:p>
    <w:p>
      <w:r>
        <w:rPr>
          <w:color w:val="555555"/>
          <w:sz w:val="18"/>
        </w:rPr>
        <w:t xml:space="preserve">Neuntes Buch Sozialgesetzbuch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Wunsch des Menschen mit Behinderungen werden die Leistungen nach den §§ 57 und 58 von einer nach § 225 anerkannten Werkstatt für behinderte Menschen, von dieser zusammen mit einem oder mehreren anderen Leistungsanbietern oder von einem oder mehreren anderen Leistungsanbietern erbracht.</w:t>
      </w:r>
    </w:p>
    <w:p>
      <w:r>
        <w:t xml:space="preserve">(2) Werden Teile einer Leistung im Verantwortungsbereich einer Werkstatt für behinderte Menschen oder eines anderen Leistungsanbieters erbracht, so bedarf die Leistungserbringung der Zustimmung des unmittelbar verantwortlichen Leistungsanbieters.</w:t>
      </w:r>
    </w:p>
    <w:p>
      <w:r>
        <w:rPr>
          <w:color w:val="555555"/>
          <w:sz w:val="17"/>
        </w:rPr>
        <w:t xml:space="preserve">Zitiervorschlag: § 62 SGB 9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https://recht.nulegal.eu/gesetze/SGB%209%202018/62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